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D" w:rsidRPr="00D33FED" w:rsidRDefault="000E628D" w:rsidP="00944B15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D33FE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僑光科技大學</w:t>
      </w:r>
      <w:r w:rsidRPr="00D33FE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潛在職場暴力風險評估表</w:t>
      </w:r>
    </w:p>
    <w:tbl>
      <w:tblPr>
        <w:tblW w:w="136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5"/>
        <w:gridCol w:w="567"/>
        <w:gridCol w:w="709"/>
        <w:gridCol w:w="1701"/>
        <w:gridCol w:w="1276"/>
        <w:gridCol w:w="797"/>
        <w:gridCol w:w="2551"/>
        <w:gridCol w:w="2552"/>
        <w:gridCol w:w="1042"/>
      </w:tblGrid>
      <w:tr w:rsidR="000E628D" w:rsidRPr="00CC113F" w:rsidTr="00944B15">
        <w:trPr>
          <w:trHeight w:val="1140"/>
          <w:tblCellSpacing w:w="0" w:type="dxa"/>
        </w:trPr>
        <w:tc>
          <w:tcPr>
            <w:tcW w:w="670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28D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單位：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__________________________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______________</w:t>
            </w:r>
          </w:p>
          <w:p w:rsidR="000E628D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評估人員：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______________________  </w:t>
            </w:r>
            <w:r w:rsidRPr="001D449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單位主管</w:t>
            </w:r>
            <w:r w:rsidRPr="001D449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 xml:space="preserve"> : __________________ 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9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28D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評估日期：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__________________________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__________</w:t>
            </w:r>
          </w:p>
          <w:p w:rsidR="000E628D" w:rsidRPr="00CC113F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審核人員：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__________________________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__________</w:t>
            </w:r>
          </w:p>
        </w:tc>
      </w:tr>
      <w:tr w:rsidR="000E628D" w:rsidRPr="00CC113F" w:rsidTr="005827BF">
        <w:trPr>
          <w:trHeight w:val="628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潛在風險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造成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的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暴力類型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發生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頻率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嚴重度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現有控制措施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降低風險之控制措施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D449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降低風險措施完成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日期</w:t>
            </w:r>
          </w:p>
        </w:tc>
      </w:tr>
      <w:tr w:rsidR="000E628D" w:rsidRPr="00CC113F" w:rsidTr="005827BF">
        <w:trPr>
          <w:trHeight w:val="327"/>
          <w:tblCellSpacing w:w="0" w:type="dxa"/>
        </w:trPr>
        <w:tc>
          <w:tcPr>
            <w:tcW w:w="1365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E0E7" w:themeFill="text2" w:themeFillTint="33"/>
            <w:vAlign w:val="center"/>
          </w:tcPr>
          <w:p w:rsidR="000E628D" w:rsidRPr="00747235" w:rsidRDefault="000E628D" w:rsidP="005827B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新細明體"/>
                <w:b/>
                <w:kern w:val="0"/>
                <w:sz w:val="20"/>
                <w:szCs w:val="20"/>
              </w:rPr>
            </w:pPr>
            <w:r w:rsidRPr="00747235">
              <w:rPr>
                <w:rFonts w:ascii="Times New Roman" w:eastAsia="標楷體" w:hAnsi="Times New Roman" w:cs="新細明體" w:hint="eastAsia"/>
                <w:b/>
                <w:kern w:val="0"/>
                <w:sz w:val="20"/>
                <w:szCs w:val="20"/>
              </w:rPr>
              <w:t>外部不法侵害</w:t>
            </w:r>
            <w:proofErr w:type="gramStart"/>
            <w:r w:rsidRPr="00747235">
              <w:rPr>
                <w:rFonts w:ascii="Times New Roman" w:eastAsia="標楷體" w:hAnsi="Times New Roman" w:cs="新細明體" w:hint="eastAsia"/>
                <w:b/>
                <w:kern w:val="0"/>
                <w:sz w:val="20"/>
                <w:szCs w:val="20"/>
              </w:rPr>
              <w:t>（註</w:t>
            </w:r>
            <w:proofErr w:type="gramEnd"/>
            <w:r w:rsidRPr="00747235">
              <w:rPr>
                <w:rFonts w:ascii="Times New Roman" w:eastAsia="標楷體" w:hAnsi="Times New Roman" w:cs="新細明體" w:hint="eastAsia"/>
                <w:b/>
                <w:kern w:val="0"/>
                <w:sz w:val="20"/>
                <w:szCs w:val="20"/>
              </w:rPr>
              <w:t>:</w:t>
            </w:r>
            <w:r w:rsidRPr="00747235">
              <w:rPr>
                <w:rFonts w:ascii="Times New Roman" w:eastAsia="標楷體" w:hAnsi="Times New Roman" w:cs="新細明體" w:hint="eastAsia"/>
                <w:b/>
                <w:kern w:val="0"/>
                <w:sz w:val="20"/>
                <w:szCs w:val="20"/>
              </w:rPr>
              <w:t>勾選“否”者該項無需評估</w:t>
            </w:r>
            <w:r w:rsidRPr="00747235">
              <w:rPr>
                <w:rFonts w:ascii="Times New Roman" w:eastAsia="標楷體" w:hAnsi="Times New Roman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0E628D" w:rsidRPr="00CC113F" w:rsidTr="005827BF">
        <w:trPr>
          <w:trHeight w:val="111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是否有校外人員，因其行為無法預知，可能成為不法侵害來源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111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是否</w:t>
            </w:r>
            <w:r w:rsidRPr="00CC113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有已知工作會接觸有暴力史之人員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  <w:u w:val="single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111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lastRenderedPageBreak/>
              <w:t>潛在風險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造成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的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暴力類型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發生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頻率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嚴重度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現有控制措施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降低風險之控制措施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D449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降低風險措施完成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日期</w:t>
            </w:r>
          </w:p>
        </w:tc>
      </w:tr>
      <w:tr w:rsidR="000E628D" w:rsidRPr="00CC113F" w:rsidTr="005827BF">
        <w:trPr>
          <w:trHeight w:val="111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工作</w:t>
            </w:r>
            <w:r w:rsidRPr="00CC113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性質是否為執行公共安全業務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  <w:u w:val="single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752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工作</w:t>
            </w:r>
            <w:r w:rsidRPr="00CC113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是否為單獨作業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667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工作</w:t>
            </w:r>
            <w:r w:rsidRPr="00CC113F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是否涉及現金交易、運送或處理貴重物品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767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lastRenderedPageBreak/>
              <w:t>潛在風險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造成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的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暴力類型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發生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頻率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嚴重度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現有控制措施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降低風險之控制措施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D449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降低風險措施完成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日期</w:t>
            </w:r>
          </w:p>
        </w:tc>
      </w:tr>
      <w:tr w:rsidR="000E628D" w:rsidRPr="00CC113F" w:rsidTr="005827BF">
        <w:trPr>
          <w:trHeight w:val="767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工作是否為直接面對群眾之第一線服務工作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993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工作</w:t>
            </w:r>
            <w:r w:rsidRPr="00CC113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是否會與酗酒、毒癮或精神疾病之患者接觸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70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工作</w:t>
            </w:r>
            <w:r w:rsidRPr="00CC113F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是否需接觸恐懼或絕望極需被關懷照顧者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81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lastRenderedPageBreak/>
              <w:t>潛在風險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造成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的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暴力類型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發生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頻率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嚴重度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現有控制措施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降低風險之控制措施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D449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降低風險措施完成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日期</w:t>
            </w:r>
          </w:p>
        </w:tc>
      </w:tr>
      <w:tr w:rsidR="000E628D" w:rsidRPr="00CC113F" w:rsidTr="005827BF">
        <w:trPr>
          <w:trHeight w:val="81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教職員工中是否有通報因私人關係受威脅或家庭暴力受害者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81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單位內是否發生過主管或教職員工遭受同事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含上司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)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不當言行之對待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81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是否有無法接受不同性別、年齡、國籍或宗教信仰之教職員工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69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lastRenderedPageBreak/>
              <w:t>潛在風險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造成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的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暴力類型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發生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頻率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嚴重度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現有控制措施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降低風險之控制措施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D449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降低風險措施完成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日期</w:t>
            </w:r>
          </w:p>
        </w:tc>
      </w:tr>
      <w:tr w:rsidR="000E628D" w:rsidRPr="00CC113F" w:rsidTr="005827BF">
        <w:trPr>
          <w:trHeight w:val="69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是否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有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教職員工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的離職或請求調職可能是緣於發生職場暴力事件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69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是否有被同仁排擠或工作適應不良之教職員工。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CC113F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69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工作環境是否有空間擁擠，照明設備不足之問題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0E628D" w:rsidRPr="00CC113F" w:rsidTr="005827BF">
        <w:trPr>
          <w:trHeight w:val="69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lastRenderedPageBreak/>
              <w:t>潛在風險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造成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的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暴力類型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發生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頻率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嚴重度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現有控制措施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降低風險之控制措施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（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工程控制／管理控制／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個人防護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D449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降低風險措施完成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日期</w:t>
            </w:r>
          </w:p>
        </w:tc>
      </w:tr>
      <w:tr w:rsidR="000E628D" w:rsidRPr="00CC113F" w:rsidTr="005827BF">
        <w:trPr>
          <w:trHeight w:val="690"/>
          <w:tblCellSpacing w:w="0" w:type="dxa"/>
        </w:trPr>
        <w:tc>
          <w:tcPr>
            <w:tcW w:w="2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工作場所</w:t>
            </w:r>
            <w:r w:rsidRPr="00CC113F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出入是否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未有相關</w:t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人員</w:t>
            </w:r>
            <w:r w:rsidRPr="00CC113F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管制措施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□肢體□心理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□語言□性騷擾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不太可能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□輕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□中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</w:r>
            <w:r w:rsidRPr="00CC113F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□重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□適當配置作業場所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依工作適</w:t>
            </w: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性適當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調整人力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BE3B48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提供必要保護措施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□建構行為規範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□教育訓練</w:t>
            </w:r>
          </w:p>
          <w:p w:rsidR="000E628D" w:rsidRPr="00BE3B48" w:rsidRDefault="000E628D" w:rsidP="005827BF">
            <w:pPr>
              <w:widowControl/>
              <w:spacing w:before="100" w:beforeAutospacing="1" w:after="119"/>
              <w:contextualSpacing/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E3B48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28D" w:rsidRPr="00CC113F" w:rsidRDefault="000E628D" w:rsidP="005827BF">
            <w:pPr>
              <w:widowControl/>
              <w:spacing w:before="100" w:beforeAutospacing="1" w:after="119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</w:tbl>
    <w:p w:rsidR="000E628D" w:rsidRPr="00AA07D7" w:rsidRDefault="000E628D" w:rsidP="000E628D">
      <w:pPr>
        <w:widowControl/>
        <w:spacing w:before="100" w:beforeAutospacing="1" w:line="442" w:lineRule="atLeast"/>
        <w:contextualSpacing/>
        <w:rPr>
          <w:rFonts w:ascii="Times New Roman" w:eastAsia="標楷體" w:hAnsi="Times New Roman" w:cs="Times New Roman"/>
          <w:b/>
          <w:bCs/>
          <w:kern w:val="0"/>
          <w:sz w:val="22"/>
        </w:rPr>
      </w:pPr>
      <w:r w:rsidRPr="00CC113F">
        <w:rPr>
          <w:rFonts w:ascii="Times New Roman" w:eastAsia="標楷體" w:hAnsi="Times New Roman" w:cs="新細明體"/>
          <w:kern w:val="0"/>
          <w:sz w:val="20"/>
          <w:szCs w:val="20"/>
        </w:rPr>
        <w:t>※</w:t>
      </w:r>
      <w:r w:rsidRPr="00AA07D7">
        <w:rPr>
          <w:rFonts w:ascii="Times New Roman" w:eastAsia="標楷體" w:hAnsi="Times New Roman" w:cs="新細明體"/>
          <w:b/>
          <w:bCs/>
          <w:kern w:val="0"/>
          <w:sz w:val="22"/>
        </w:rPr>
        <w:t>風險評估方式說明</w:t>
      </w:r>
      <w:r w:rsidRPr="00AA07D7">
        <w:rPr>
          <w:rFonts w:ascii="Times New Roman" w:eastAsia="標楷體" w:hAnsi="Times New Roman" w:cs="Times New Roman"/>
          <w:b/>
          <w:bCs/>
          <w:kern w:val="0"/>
          <w:sz w:val="22"/>
        </w:rPr>
        <w:t>:</w:t>
      </w:r>
    </w:p>
    <w:p w:rsidR="000E628D" w:rsidRPr="00AA07D7" w:rsidRDefault="000E628D" w:rsidP="000E628D">
      <w:pPr>
        <w:pStyle w:val="a6"/>
        <w:widowControl/>
        <w:numPr>
          <w:ilvl w:val="1"/>
          <w:numId w:val="1"/>
        </w:numPr>
        <w:adjustRightInd w:val="0"/>
        <w:snapToGrid w:val="0"/>
        <w:ind w:leftChars="0" w:left="425" w:hanging="425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風險可由危害嚴重性及可能性之組合判定。評估嚴重度可考慮下列因素：</w:t>
      </w:r>
    </w:p>
    <w:p w:rsidR="000E628D" w:rsidRPr="00AA07D7" w:rsidRDefault="000E628D" w:rsidP="000E628D">
      <w:pPr>
        <w:pStyle w:val="a6"/>
        <w:widowControl/>
        <w:numPr>
          <w:ilvl w:val="1"/>
          <w:numId w:val="2"/>
        </w:numPr>
        <w:adjustRightInd w:val="0"/>
        <w:snapToGrid w:val="0"/>
        <w:ind w:leftChars="0" w:left="850" w:hanging="425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可能受到傷害或影響的部位、傷害人數等。</w:t>
      </w:r>
    </w:p>
    <w:p w:rsidR="000E628D" w:rsidRPr="00AA07D7" w:rsidRDefault="000E628D" w:rsidP="000E628D">
      <w:pPr>
        <w:pStyle w:val="a6"/>
        <w:widowControl/>
        <w:numPr>
          <w:ilvl w:val="1"/>
          <w:numId w:val="2"/>
        </w:numPr>
        <w:adjustRightInd w:val="0"/>
        <w:snapToGrid w:val="0"/>
        <w:ind w:leftChars="0" w:left="850" w:hanging="425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可能發生：</w:t>
      </w:r>
    </w:p>
    <w:p w:rsidR="000E628D" w:rsidRPr="00AA07D7" w:rsidRDefault="000E628D" w:rsidP="000E628D">
      <w:pPr>
        <w:pStyle w:val="a6"/>
        <w:widowControl/>
        <w:numPr>
          <w:ilvl w:val="0"/>
          <w:numId w:val="3"/>
        </w:numPr>
        <w:adjustRightInd w:val="0"/>
        <w:snapToGrid w:val="0"/>
        <w:ind w:leftChars="0" w:left="851" w:hanging="142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輕度傷害，如：</w:t>
      </w:r>
      <w:r w:rsidRPr="00AA07D7">
        <w:rPr>
          <w:rFonts w:ascii="Times New Roman" w:eastAsia="標楷體" w:hAnsi="Times New Roman" w:cs="Times New Roman"/>
          <w:kern w:val="0"/>
          <w:sz w:val="22"/>
        </w:rPr>
        <w:t>(1)</w:t>
      </w:r>
      <w:r w:rsidRPr="00AA07D7">
        <w:rPr>
          <w:rFonts w:ascii="Times New Roman" w:eastAsia="標楷體" w:hAnsi="Times New Roman" w:cs="新細明體"/>
          <w:kern w:val="0"/>
          <w:sz w:val="22"/>
        </w:rPr>
        <w:t>表皮受傷、輕微割傷、瘀傷；</w:t>
      </w:r>
      <w:r w:rsidRPr="00AA07D7">
        <w:rPr>
          <w:rFonts w:ascii="Times New Roman" w:eastAsia="標楷體" w:hAnsi="Times New Roman" w:cs="Times New Roman"/>
          <w:kern w:val="0"/>
          <w:sz w:val="22"/>
        </w:rPr>
        <w:t>(2)</w:t>
      </w:r>
      <w:r w:rsidRPr="00AA07D7">
        <w:rPr>
          <w:rFonts w:ascii="Times New Roman" w:eastAsia="標楷體" w:hAnsi="Times New Roman" w:cs="新細明體"/>
          <w:kern w:val="0"/>
          <w:sz w:val="22"/>
        </w:rPr>
        <w:t>不適和刺激，如頭痛等暫時性的病痛；</w:t>
      </w:r>
      <w:r w:rsidRPr="00AA07D7">
        <w:rPr>
          <w:rFonts w:ascii="Times New Roman" w:eastAsia="標楷體" w:hAnsi="Times New Roman" w:cs="Times New Roman"/>
          <w:kern w:val="0"/>
          <w:sz w:val="22"/>
        </w:rPr>
        <w:t>(3)</w:t>
      </w:r>
      <w:r w:rsidRPr="00AA07D7">
        <w:rPr>
          <w:rFonts w:ascii="Times New Roman" w:eastAsia="標楷體" w:hAnsi="Times New Roman" w:cs="新細明體"/>
          <w:kern w:val="0"/>
          <w:sz w:val="22"/>
        </w:rPr>
        <w:t>言語上騷擾，造成心理短暫不舒服。</w:t>
      </w:r>
    </w:p>
    <w:p w:rsidR="000E628D" w:rsidRDefault="000E628D" w:rsidP="000E628D">
      <w:pPr>
        <w:pStyle w:val="a6"/>
        <w:widowControl/>
        <w:numPr>
          <w:ilvl w:val="0"/>
          <w:numId w:val="3"/>
        </w:numPr>
        <w:adjustRightInd w:val="0"/>
        <w:snapToGrid w:val="0"/>
        <w:ind w:leftChars="0" w:left="851" w:hanging="142"/>
        <w:rPr>
          <w:rFonts w:ascii="Times New Roman" w:eastAsia="標楷體" w:hAnsi="Times New Roman" w:cs="新細明體" w:hint="eastAsia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中度傷害，如：</w:t>
      </w:r>
      <w:r w:rsidRPr="00AA07D7">
        <w:rPr>
          <w:rFonts w:ascii="Times New Roman" w:eastAsia="標楷體" w:hAnsi="Times New Roman" w:cs="Times New Roman"/>
          <w:kern w:val="0"/>
          <w:sz w:val="22"/>
        </w:rPr>
        <w:t>(1)</w:t>
      </w:r>
      <w:r w:rsidRPr="00AA07D7">
        <w:rPr>
          <w:rFonts w:ascii="Times New Roman" w:eastAsia="標楷體" w:hAnsi="Times New Roman" w:cs="新細明體"/>
          <w:kern w:val="0"/>
          <w:sz w:val="22"/>
        </w:rPr>
        <w:t>割傷、燙傷、腦震盪、嚴重扭傷、輕微骨折；</w:t>
      </w:r>
      <w:r w:rsidRPr="00AA07D7">
        <w:rPr>
          <w:rFonts w:ascii="Times New Roman" w:eastAsia="標楷體" w:hAnsi="Times New Roman" w:cs="Times New Roman"/>
          <w:kern w:val="0"/>
          <w:sz w:val="22"/>
        </w:rPr>
        <w:t>(2)</w:t>
      </w:r>
      <w:r w:rsidRPr="00AA07D7">
        <w:rPr>
          <w:rFonts w:ascii="Times New Roman" w:eastAsia="標楷體" w:hAnsi="Times New Roman" w:cs="新細明體"/>
          <w:kern w:val="0"/>
          <w:sz w:val="22"/>
        </w:rPr>
        <w:t>造成上肢異常及輕度永久性失能；</w:t>
      </w:r>
      <w:r w:rsidRPr="00AA07D7">
        <w:rPr>
          <w:rFonts w:ascii="Times New Roman" w:eastAsia="標楷體" w:hAnsi="Times New Roman" w:cs="Times New Roman"/>
          <w:kern w:val="0"/>
          <w:sz w:val="22"/>
        </w:rPr>
        <w:t>(3)</w:t>
      </w:r>
      <w:r w:rsidRPr="00AA07D7">
        <w:rPr>
          <w:rFonts w:ascii="Times New Roman" w:eastAsia="標楷體" w:hAnsi="Times New Roman" w:cs="新細明體"/>
          <w:kern w:val="0"/>
          <w:sz w:val="22"/>
        </w:rPr>
        <w:t>遭受言語或肢體騷擾，造成心理</w:t>
      </w:r>
    </w:p>
    <w:p w:rsidR="000E628D" w:rsidRPr="00AA07D7" w:rsidRDefault="000E628D" w:rsidP="000E628D">
      <w:pPr>
        <w:pStyle w:val="a6"/>
        <w:widowControl/>
        <w:adjustRightInd w:val="0"/>
        <w:snapToGrid w:val="0"/>
        <w:ind w:leftChars="0" w:left="993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極度不舒服。</w:t>
      </w:r>
    </w:p>
    <w:p w:rsidR="000E628D" w:rsidRPr="00AA07D7" w:rsidRDefault="000E628D" w:rsidP="000E628D">
      <w:pPr>
        <w:pStyle w:val="a6"/>
        <w:widowControl/>
        <w:numPr>
          <w:ilvl w:val="0"/>
          <w:numId w:val="3"/>
        </w:numPr>
        <w:adjustRightInd w:val="0"/>
        <w:snapToGrid w:val="0"/>
        <w:ind w:leftChars="0" w:left="993" w:hanging="284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嚴重傷害，如：</w:t>
      </w:r>
      <w:r w:rsidRPr="00AA07D7">
        <w:rPr>
          <w:rFonts w:ascii="Times New Roman" w:eastAsia="標楷體" w:hAnsi="Times New Roman" w:cs="Times New Roman"/>
          <w:kern w:val="0"/>
          <w:sz w:val="22"/>
        </w:rPr>
        <w:t>(1)</w:t>
      </w:r>
      <w:r w:rsidRPr="00AA07D7">
        <w:rPr>
          <w:rFonts w:ascii="Times New Roman" w:eastAsia="標楷體" w:hAnsi="Times New Roman" w:cs="新細明體"/>
          <w:kern w:val="0"/>
          <w:sz w:val="22"/>
        </w:rPr>
        <w:t>截肢、嚴重骨折、中毒、多重及致命傷害；</w:t>
      </w:r>
      <w:r w:rsidRPr="00AA07D7">
        <w:rPr>
          <w:rFonts w:ascii="Times New Roman" w:eastAsia="標楷體" w:hAnsi="Times New Roman" w:cs="Times New Roman"/>
          <w:kern w:val="0"/>
          <w:sz w:val="22"/>
        </w:rPr>
        <w:t>(2)</w:t>
      </w:r>
      <w:r w:rsidRPr="00AA07D7">
        <w:rPr>
          <w:rFonts w:ascii="Times New Roman" w:eastAsia="標楷體" w:hAnsi="Times New Roman" w:cs="新細明體"/>
          <w:kern w:val="0"/>
          <w:sz w:val="22"/>
        </w:rPr>
        <w:t>其它嚴重縮短生命及急性致命傷害；</w:t>
      </w:r>
      <w:r w:rsidRPr="00AA07D7">
        <w:rPr>
          <w:rFonts w:ascii="Times New Roman" w:eastAsia="標楷體" w:hAnsi="Times New Roman" w:cs="Times New Roman"/>
          <w:kern w:val="0"/>
          <w:sz w:val="22"/>
        </w:rPr>
        <w:t>(3)</w:t>
      </w:r>
      <w:r w:rsidRPr="00AA07D7">
        <w:rPr>
          <w:rFonts w:ascii="Times New Roman" w:eastAsia="標楷體" w:hAnsi="Times New Roman" w:cs="新細明體"/>
          <w:kern w:val="0"/>
          <w:sz w:val="22"/>
        </w:rPr>
        <w:t>遭受言語或肢體騷擾，可能造成精神相關疾病。</w:t>
      </w:r>
      <w:r w:rsidRPr="00AA07D7">
        <w:rPr>
          <w:rFonts w:ascii="Times New Roman" w:eastAsia="標楷體" w:hAnsi="Times New Roman" w:cs="新細明體"/>
          <w:kern w:val="0"/>
          <w:sz w:val="22"/>
        </w:rPr>
        <w:br/>
      </w:r>
    </w:p>
    <w:p w:rsidR="000E628D" w:rsidRPr="00AA07D7" w:rsidRDefault="000E628D" w:rsidP="000E628D">
      <w:pPr>
        <w:pStyle w:val="a6"/>
        <w:widowControl/>
        <w:numPr>
          <w:ilvl w:val="1"/>
          <w:numId w:val="1"/>
        </w:numPr>
        <w:adjustRightInd w:val="0"/>
        <w:snapToGrid w:val="0"/>
        <w:ind w:leftChars="0" w:left="425" w:hanging="425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非預期事件後果的評估也是非常重要的工作。可能性等級之區分一般可分為：</w:t>
      </w:r>
    </w:p>
    <w:p w:rsidR="000E628D" w:rsidRPr="00AA07D7" w:rsidRDefault="000E628D" w:rsidP="000E628D">
      <w:pPr>
        <w:pStyle w:val="a6"/>
        <w:widowControl/>
        <w:numPr>
          <w:ilvl w:val="0"/>
          <w:numId w:val="4"/>
        </w:numPr>
        <w:adjustRightInd w:val="0"/>
        <w:snapToGrid w:val="0"/>
        <w:ind w:leftChars="0" w:left="851" w:hanging="425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可能發生：一年可能會發生一次以上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。</w:t>
      </w:r>
    </w:p>
    <w:p w:rsidR="000E628D" w:rsidRPr="00AA07D7" w:rsidRDefault="000E628D" w:rsidP="000E628D">
      <w:pPr>
        <w:pStyle w:val="a6"/>
        <w:widowControl/>
        <w:numPr>
          <w:ilvl w:val="0"/>
          <w:numId w:val="4"/>
        </w:numPr>
        <w:adjustRightInd w:val="0"/>
        <w:snapToGrid w:val="0"/>
        <w:ind w:leftChars="0" w:left="851" w:hanging="425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不太可能發生：至少</w:t>
      </w:r>
      <w:proofErr w:type="gramStart"/>
      <w:r w:rsidRPr="00AA07D7">
        <w:rPr>
          <w:rFonts w:ascii="Times New Roman" w:eastAsia="標楷體" w:hAnsi="Times New Roman" w:cs="新細明體"/>
          <w:kern w:val="0"/>
          <w:sz w:val="22"/>
        </w:rPr>
        <w:t>一</w:t>
      </w:r>
      <w:proofErr w:type="gramEnd"/>
      <w:r w:rsidRPr="00AA07D7">
        <w:rPr>
          <w:rFonts w:ascii="Times New Roman" w:eastAsia="標楷體" w:hAnsi="Times New Roman" w:cs="新細明體"/>
          <w:kern w:val="0"/>
          <w:sz w:val="22"/>
        </w:rPr>
        <w:t>至十年之內，可能會發生</w:t>
      </w:r>
      <w:proofErr w:type="gramStart"/>
      <w:r w:rsidRPr="00AA07D7">
        <w:rPr>
          <w:rFonts w:ascii="Times New Roman" w:eastAsia="標楷體" w:hAnsi="Times New Roman" w:cs="新細明體"/>
          <w:kern w:val="0"/>
          <w:sz w:val="22"/>
        </w:rPr>
        <w:t>ㄧ</w:t>
      </w:r>
      <w:proofErr w:type="gramEnd"/>
      <w:r w:rsidRPr="00AA07D7">
        <w:rPr>
          <w:rFonts w:ascii="Times New Roman" w:eastAsia="標楷體" w:hAnsi="Times New Roman" w:cs="新細明體"/>
          <w:kern w:val="0"/>
          <w:sz w:val="22"/>
        </w:rPr>
        <w:t>次。</w:t>
      </w:r>
    </w:p>
    <w:p w:rsidR="000E628D" w:rsidRPr="00AA07D7" w:rsidRDefault="000E628D" w:rsidP="000E628D">
      <w:pPr>
        <w:pStyle w:val="a6"/>
        <w:widowControl/>
        <w:numPr>
          <w:ilvl w:val="0"/>
          <w:numId w:val="4"/>
        </w:numPr>
        <w:adjustRightInd w:val="0"/>
        <w:snapToGrid w:val="0"/>
        <w:ind w:leftChars="0" w:left="851" w:hanging="425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極不可能發生：至少十年以上，才會發生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一次</w:t>
      </w:r>
      <w:r w:rsidRPr="00AA07D7">
        <w:rPr>
          <w:rFonts w:ascii="Times New Roman" w:eastAsia="標楷體" w:hAnsi="Times New Roman" w:cs="新細明體"/>
          <w:kern w:val="0"/>
          <w:sz w:val="22"/>
        </w:rPr>
        <w:br/>
      </w:r>
    </w:p>
    <w:p w:rsidR="000E628D" w:rsidRPr="00CC113F" w:rsidRDefault="000E628D" w:rsidP="000E628D">
      <w:pPr>
        <w:widowControl/>
        <w:spacing w:before="100" w:beforeAutospacing="1" w:line="442" w:lineRule="atLeast"/>
        <w:contextualSpacing/>
        <w:rPr>
          <w:rFonts w:ascii="Times New Roman" w:eastAsia="標楷體" w:hAnsi="Times New Roman" w:cs="新細明體"/>
          <w:kern w:val="0"/>
          <w:sz w:val="20"/>
          <w:szCs w:val="20"/>
        </w:rPr>
        <w:sectPr w:rsidR="000E628D" w:rsidRPr="00CC113F" w:rsidSect="009924BB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0E628D" w:rsidRPr="00AA07D7" w:rsidRDefault="000E628D" w:rsidP="000E628D">
      <w:pPr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  <w:r w:rsidRPr="00AA07D7">
        <w:rPr>
          <w:rFonts w:ascii="細明體" w:eastAsia="細明體" w:hAnsi="細明體" w:hint="eastAsia"/>
          <w:b/>
          <w:color w:val="000000" w:themeColor="text1"/>
          <w:sz w:val="22"/>
        </w:rPr>
        <w:lastRenderedPageBreak/>
        <w:t>*</w:t>
      </w:r>
      <w:bookmarkStart w:id="0" w:name="_GoBack"/>
      <w:bookmarkEnd w:id="0"/>
      <w:r w:rsidRPr="00AA07D7">
        <w:rPr>
          <w:rFonts w:ascii="Times New Roman" w:eastAsia="標楷體" w:hAnsi="Times New Roman" w:hint="eastAsia"/>
          <w:b/>
          <w:color w:val="000000" w:themeColor="text1"/>
          <w:sz w:val="22"/>
        </w:rPr>
        <w:t>控制措施方法說明</w:t>
      </w:r>
      <w:r w:rsidRPr="00AA07D7">
        <w:rPr>
          <w:rFonts w:ascii="Times New Roman" w:eastAsia="標楷體" w:hAnsi="Times New Roman" w:hint="eastAsia"/>
          <w:b/>
          <w:color w:val="000000" w:themeColor="text1"/>
          <w:sz w:val="22"/>
        </w:rPr>
        <w:t xml:space="preserve"> :</w:t>
      </w:r>
    </w:p>
    <w:p w:rsidR="000E628D" w:rsidRPr="00AA07D7" w:rsidRDefault="000E628D" w:rsidP="000E628D">
      <w:pPr>
        <w:pStyle w:val="a6"/>
        <w:numPr>
          <w:ilvl w:val="0"/>
          <w:numId w:val="5"/>
        </w:numPr>
        <w:ind w:leftChars="0" w:left="851" w:hanging="425"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 w:hint="eastAsia"/>
          <w:color w:val="FF0000"/>
          <w:kern w:val="0"/>
          <w:sz w:val="22"/>
        </w:rPr>
        <w:t>適當配置作業場所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：</w:t>
      </w:r>
      <w:r w:rsidRPr="00AA07D7">
        <w:rPr>
          <w:rFonts w:ascii="Times New Roman" w:eastAsia="標楷體" w:hAnsi="Times New Roman" w:cs="新細明體"/>
          <w:kern w:val="0"/>
          <w:sz w:val="22"/>
        </w:rPr>
        <w:t>將校內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可能</w:t>
      </w:r>
      <w:r w:rsidRPr="00AA07D7">
        <w:rPr>
          <w:rFonts w:ascii="Times New Roman" w:eastAsia="標楷體" w:hAnsi="Times New Roman" w:cs="新細明體"/>
          <w:kern w:val="0"/>
          <w:sz w:val="22"/>
        </w:rPr>
        <w:t>發生的暴力類型與工作位置，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參考</w:t>
      </w:r>
      <w:r w:rsidRPr="00AA07D7">
        <w:rPr>
          <w:rFonts w:ascii="Times New Roman" w:eastAsia="標楷體" w:hAnsi="Times New Roman" w:cs="新細明體"/>
          <w:kern w:val="0"/>
          <w:sz w:val="22"/>
        </w:rPr>
        <w:t>強化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工作場所規劃</w:t>
      </w:r>
      <w:r w:rsidRPr="00AA07D7">
        <w:rPr>
          <w:rFonts w:ascii="Times New Roman" w:eastAsia="標楷體" w:hAnsi="Times New Roman" w:cs="新細明體"/>
          <w:kern w:val="0"/>
          <w:sz w:val="22"/>
        </w:rPr>
        <w:t>措施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內容（如</w:t>
      </w:r>
      <w:r>
        <w:rPr>
          <w:rFonts w:ascii="Times New Roman" w:eastAsia="標楷體" w:hAnsi="Times New Roman" w:cs="新細明體"/>
          <w:kern w:val="0"/>
          <w:sz w:val="22"/>
        </w:rPr>
        <w:t>下表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），予以適當改善與強化</w:t>
      </w:r>
      <w:r w:rsidRPr="00AA07D7">
        <w:rPr>
          <w:rFonts w:ascii="Times New Roman" w:eastAsia="標楷體" w:hAnsi="Times New Roman" w:cs="新細明體"/>
          <w:kern w:val="0"/>
          <w:sz w:val="22"/>
        </w:rPr>
        <w:t>。</w:t>
      </w:r>
    </w:p>
    <w:p w:rsidR="000E628D" w:rsidRPr="00AA07D7" w:rsidRDefault="000E628D" w:rsidP="000E628D">
      <w:pPr>
        <w:pStyle w:val="a6"/>
        <w:numPr>
          <w:ilvl w:val="0"/>
          <w:numId w:val="5"/>
        </w:numPr>
        <w:ind w:leftChars="0" w:left="851" w:hanging="425"/>
        <w:jc w:val="both"/>
        <w:rPr>
          <w:rFonts w:ascii="Times New Roman" w:eastAsia="標楷體" w:hAnsi="Times New Roman" w:cs="新細明體"/>
          <w:kern w:val="0"/>
          <w:sz w:val="22"/>
        </w:rPr>
      </w:pPr>
      <w:r>
        <w:rPr>
          <w:rFonts w:ascii="Times New Roman" w:eastAsia="標楷體" w:hAnsi="Times New Roman" w:cs="新細明體"/>
          <w:kern w:val="0"/>
          <w:sz w:val="22"/>
        </w:rPr>
        <w:t>依</w:t>
      </w:r>
      <w:r w:rsidRPr="00AA07D7">
        <w:rPr>
          <w:rFonts w:ascii="Times New Roman" w:eastAsia="標楷體" w:hAnsi="Times New Roman" w:cs="新細明體"/>
          <w:color w:val="FF0000"/>
          <w:kern w:val="0"/>
          <w:sz w:val="22"/>
        </w:rPr>
        <w:t>工作適性適當調整人力</w:t>
      </w:r>
      <w:r>
        <w:rPr>
          <w:rFonts w:ascii="Times New Roman" w:eastAsia="標楷體" w:hAnsi="Times New Roman" w:cs="新細明體"/>
          <w:kern w:val="0"/>
          <w:sz w:val="22"/>
        </w:rPr>
        <w:t>或</w:t>
      </w:r>
      <w:r w:rsidRPr="00AA07D7">
        <w:rPr>
          <w:rFonts w:ascii="Times New Roman" w:eastAsia="標楷體" w:hAnsi="Times New Roman" w:cs="新細明體"/>
          <w:color w:val="FF0000"/>
          <w:kern w:val="0"/>
          <w:sz w:val="22"/>
        </w:rPr>
        <w:t>提供必要保護措施</w:t>
      </w:r>
      <w:r>
        <w:rPr>
          <w:rFonts w:ascii="Times New Roman" w:eastAsia="標楷體" w:hAnsi="Times New Roman" w:cs="新細明體"/>
          <w:kern w:val="0"/>
          <w:sz w:val="22"/>
        </w:rPr>
        <w:t>：</w:t>
      </w:r>
      <w:r w:rsidRPr="00AA07D7">
        <w:rPr>
          <w:rFonts w:ascii="Times New Roman" w:eastAsia="標楷體" w:hAnsi="Times New Roman" w:cs="新細明體"/>
          <w:kern w:val="0"/>
          <w:sz w:val="22"/>
        </w:rPr>
        <w:t>如評估結果仍無法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避</w:t>
      </w:r>
      <w:r w:rsidRPr="00AA07D7">
        <w:rPr>
          <w:rFonts w:ascii="Times New Roman" w:eastAsia="標楷體" w:hAnsi="Times New Roman" w:cs="新細明體"/>
          <w:kern w:val="0"/>
          <w:sz w:val="22"/>
        </w:rPr>
        <w:t>免具有下列職務或作業流程時，應依工作適性調整人力或提供相關防衛性工具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（如口哨、警棍等）：</w:t>
      </w:r>
    </w:p>
    <w:p w:rsidR="000E628D" w:rsidRPr="00AA07D7" w:rsidRDefault="000E628D" w:rsidP="000E628D">
      <w:pPr>
        <w:pStyle w:val="a6"/>
        <w:widowControl/>
        <w:numPr>
          <w:ilvl w:val="0"/>
          <w:numId w:val="6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面對大量群眾，尤其是服務對象是弱勢族群或有精神障礙者。</w:t>
      </w:r>
    </w:p>
    <w:p w:rsidR="000E628D" w:rsidRPr="00AA07D7" w:rsidRDefault="000E628D" w:rsidP="000E628D">
      <w:pPr>
        <w:pStyle w:val="a6"/>
        <w:widowControl/>
        <w:numPr>
          <w:ilvl w:val="0"/>
          <w:numId w:val="6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需要單獨進行作業活動。</w:t>
      </w:r>
    </w:p>
    <w:p w:rsidR="000E628D" w:rsidRPr="00AA07D7" w:rsidRDefault="000E628D" w:rsidP="000E628D">
      <w:pPr>
        <w:pStyle w:val="a6"/>
        <w:widowControl/>
        <w:numPr>
          <w:ilvl w:val="0"/>
          <w:numId w:val="6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在傍晚及夜間之工作。</w:t>
      </w:r>
    </w:p>
    <w:p w:rsidR="000E628D" w:rsidRPr="00AA07D7" w:rsidRDefault="000E628D" w:rsidP="000E628D">
      <w:pPr>
        <w:pStyle w:val="a6"/>
        <w:widowControl/>
        <w:numPr>
          <w:ilvl w:val="0"/>
          <w:numId w:val="6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需要處理金錢交易工作。</w:t>
      </w:r>
    </w:p>
    <w:p w:rsidR="000E628D" w:rsidRPr="00AA07D7" w:rsidRDefault="000E628D" w:rsidP="000E628D">
      <w:pPr>
        <w:pStyle w:val="a6"/>
        <w:widowControl/>
        <w:numPr>
          <w:ilvl w:val="0"/>
          <w:numId w:val="6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執行保護性業務工作。</w:t>
      </w:r>
    </w:p>
    <w:p w:rsidR="000E628D" w:rsidRPr="00AA07D7" w:rsidRDefault="000E628D" w:rsidP="000E628D">
      <w:pPr>
        <w:pStyle w:val="a6"/>
        <w:widowControl/>
        <w:numPr>
          <w:ilvl w:val="0"/>
          <w:numId w:val="6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執行校內工作者人事調動告知作業時。</w:t>
      </w:r>
    </w:p>
    <w:p w:rsidR="000E628D" w:rsidRPr="00AA07D7" w:rsidRDefault="000E628D" w:rsidP="000E628D">
      <w:pPr>
        <w:pStyle w:val="a6"/>
        <w:widowControl/>
        <w:numPr>
          <w:ilvl w:val="0"/>
          <w:numId w:val="6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執行校內工作者人事終止聘雇告知作業時。</w:t>
      </w:r>
    </w:p>
    <w:p w:rsidR="000E628D" w:rsidRPr="00AA07D7" w:rsidRDefault="000E628D" w:rsidP="000E628D">
      <w:pPr>
        <w:pStyle w:val="a6"/>
        <w:numPr>
          <w:ilvl w:val="0"/>
          <w:numId w:val="5"/>
        </w:numPr>
        <w:ind w:leftChars="0" w:left="851" w:hanging="425"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 w:hint="eastAsia"/>
          <w:color w:val="FF0000"/>
          <w:kern w:val="0"/>
          <w:sz w:val="22"/>
        </w:rPr>
        <w:t>建構行為規範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：</w:t>
      </w:r>
    </w:p>
    <w:p w:rsidR="000E628D" w:rsidRPr="00AA07D7" w:rsidRDefault="000E628D" w:rsidP="000E628D">
      <w:pPr>
        <w:pStyle w:val="a6"/>
        <w:widowControl/>
        <w:numPr>
          <w:ilvl w:val="0"/>
          <w:numId w:val="7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 w:hint="eastAsia"/>
          <w:kern w:val="0"/>
          <w:sz w:val="22"/>
        </w:rPr>
        <w:t>公開宣示校內禁止工作場所職場暴力之書面聲明</w:t>
      </w:r>
      <w:r w:rsidRPr="00AA07D7">
        <w:rPr>
          <w:rFonts w:ascii="Times New Roman" w:eastAsia="標楷體" w:hAnsi="Times New Roman" w:cs="新細明體"/>
          <w:kern w:val="0"/>
          <w:sz w:val="22"/>
        </w:rPr>
        <w:t>並張貼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於校內各單位工作環境之</w:t>
      </w:r>
      <w:r w:rsidRPr="00AA07D7">
        <w:rPr>
          <w:rFonts w:ascii="Times New Roman" w:eastAsia="標楷體" w:hAnsi="Times New Roman" w:cs="新細明體"/>
          <w:kern w:val="0"/>
          <w:sz w:val="22"/>
        </w:rPr>
        <w:t>佈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告</w:t>
      </w:r>
      <w:r w:rsidRPr="00AA07D7">
        <w:rPr>
          <w:rFonts w:ascii="Times New Roman" w:eastAsia="標楷體" w:hAnsi="Times New Roman" w:cs="新細明體"/>
          <w:kern w:val="0"/>
          <w:sz w:val="22"/>
        </w:rPr>
        <w:t>欄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。</w:t>
      </w:r>
    </w:p>
    <w:p w:rsidR="000E628D" w:rsidRPr="00AA07D7" w:rsidRDefault="000E628D" w:rsidP="000E628D">
      <w:pPr>
        <w:pStyle w:val="a6"/>
        <w:widowControl/>
        <w:numPr>
          <w:ilvl w:val="0"/>
          <w:numId w:val="7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主管階層：應自我示範，避免排斥、脅迫、辱罵、毆打等不當或不法對待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職員工（可先行</w:t>
      </w:r>
      <w:r w:rsidRPr="00AA07D7">
        <w:rPr>
          <w:rFonts w:ascii="Times New Roman" w:eastAsia="標楷體" w:hAnsi="Times New Roman" w:cs="新細明體"/>
          <w:kern w:val="0"/>
          <w:sz w:val="22"/>
        </w:rPr>
        <w:t>自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主檢核</w:t>
      </w:r>
      <w:r w:rsidRPr="00AA07D7">
        <w:rPr>
          <w:rFonts w:ascii="Times New Roman" w:eastAsia="標楷體" w:hAnsi="Times New Roman" w:cs="新細明體"/>
          <w:kern w:val="0"/>
          <w:sz w:val="22"/>
        </w:rPr>
        <w:t>有無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職場不法侵害行為</w:t>
      </w:r>
      <w:r w:rsidRPr="00AA07D7">
        <w:rPr>
          <w:rFonts w:ascii="Times New Roman" w:eastAsia="標楷體" w:hAnsi="Times New Roman" w:cs="新細明體"/>
          <w:kern w:val="0"/>
          <w:sz w:val="22"/>
        </w:rPr>
        <w:t>，檢核表</w:t>
      </w:r>
      <w:hyperlink r:id="rId8" w:history="1">
        <w:r w:rsidRPr="00AA07D7">
          <w:rPr>
            <w:rStyle w:val="a7"/>
            <w:rFonts w:ascii="Times New Roman" w:eastAsia="標楷體" w:hAnsi="Times New Roman" w:cs="新細明體"/>
            <w:color w:val="FF0000"/>
            <w:kern w:val="0"/>
            <w:sz w:val="22"/>
          </w:rPr>
          <w:t>連結</w:t>
        </w:r>
        <w:r w:rsidRPr="00AA07D7">
          <w:rPr>
            <w:rStyle w:val="a7"/>
            <w:rFonts w:ascii="Times New Roman" w:eastAsia="標楷體" w:hAnsi="Times New Roman" w:cs="新細明體"/>
            <w:color w:val="FF0000"/>
            <w:kern w:val="0"/>
            <w:sz w:val="22"/>
          </w:rPr>
          <w:t>表</w:t>
        </w:r>
        <w:r w:rsidRPr="00AA07D7">
          <w:rPr>
            <w:rStyle w:val="a7"/>
            <w:rFonts w:ascii="Times New Roman" w:eastAsia="標楷體" w:hAnsi="Times New Roman" w:cs="新細明體"/>
            <w:color w:val="FF0000"/>
            <w:kern w:val="0"/>
            <w:sz w:val="22"/>
          </w:rPr>
          <w:t>單</w:t>
        </w:r>
      </w:hyperlink>
      <w:r w:rsidRPr="00AA07D7">
        <w:rPr>
          <w:rFonts w:ascii="Times New Roman" w:eastAsia="標楷體" w:hAnsi="Times New Roman" w:cs="新細明體" w:hint="eastAsia"/>
          <w:kern w:val="0"/>
          <w:sz w:val="22"/>
        </w:rPr>
        <w:t>）</w:t>
      </w:r>
      <w:r w:rsidRPr="00AA07D7">
        <w:rPr>
          <w:rFonts w:ascii="Times New Roman" w:eastAsia="標楷體" w:hAnsi="Times New Roman" w:cs="新細明體"/>
          <w:kern w:val="0"/>
          <w:sz w:val="22"/>
        </w:rPr>
        <w:t>，並應發揮指揮監督功能，禁止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教職員</w:t>
      </w:r>
      <w:proofErr w:type="gramStart"/>
      <w:r w:rsidRPr="00AA07D7">
        <w:rPr>
          <w:rFonts w:ascii="Times New Roman" w:eastAsia="標楷體" w:hAnsi="Times New Roman" w:cs="新細明體" w:hint="eastAsia"/>
          <w:kern w:val="0"/>
          <w:sz w:val="22"/>
        </w:rPr>
        <w:t>工</w:t>
      </w:r>
      <w:r w:rsidRPr="00AA07D7">
        <w:rPr>
          <w:rFonts w:ascii="Times New Roman" w:eastAsia="標楷體" w:hAnsi="Times New Roman" w:cs="新細明體"/>
          <w:kern w:val="0"/>
          <w:sz w:val="22"/>
        </w:rPr>
        <w:t>間有職</w:t>
      </w:r>
      <w:proofErr w:type="gramEnd"/>
      <w:r w:rsidRPr="00AA07D7">
        <w:rPr>
          <w:rFonts w:ascii="Times New Roman" w:eastAsia="標楷體" w:hAnsi="Times New Roman" w:cs="新細明體"/>
          <w:kern w:val="0"/>
          <w:sz w:val="22"/>
        </w:rPr>
        <w:t>場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暴力</w:t>
      </w:r>
      <w:r w:rsidRPr="00AA07D7">
        <w:rPr>
          <w:rFonts w:ascii="Times New Roman" w:eastAsia="標楷體" w:hAnsi="Times New Roman" w:cs="新細明體"/>
          <w:kern w:val="0"/>
          <w:sz w:val="22"/>
        </w:rPr>
        <w:t>之行為。</w:t>
      </w:r>
    </w:p>
    <w:p w:rsidR="000E628D" w:rsidRPr="00AA07D7" w:rsidRDefault="000E628D" w:rsidP="000E628D">
      <w:pPr>
        <w:pStyle w:val="a6"/>
        <w:numPr>
          <w:ilvl w:val="0"/>
          <w:numId w:val="5"/>
        </w:numPr>
        <w:ind w:leftChars="0" w:left="851" w:hanging="425"/>
        <w:jc w:val="both"/>
        <w:rPr>
          <w:rFonts w:ascii="Times New Roman" w:eastAsia="標楷體" w:hAnsi="Times New Roman" w:cs="新細明體"/>
          <w:color w:val="FF0000"/>
          <w:kern w:val="0"/>
          <w:sz w:val="22"/>
        </w:rPr>
      </w:pPr>
      <w:r w:rsidRPr="00AA07D7">
        <w:rPr>
          <w:rFonts w:ascii="Times New Roman" w:eastAsia="標楷體" w:hAnsi="Times New Roman" w:cs="新細明體" w:hint="eastAsia"/>
          <w:color w:val="FF0000"/>
          <w:kern w:val="0"/>
          <w:sz w:val="22"/>
        </w:rPr>
        <w:t>教育訓練：</w:t>
      </w:r>
    </w:p>
    <w:p w:rsidR="000E628D" w:rsidRDefault="000E628D" w:rsidP="000E628D">
      <w:pPr>
        <w:pStyle w:val="a6"/>
        <w:widowControl/>
        <w:numPr>
          <w:ilvl w:val="0"/>
          <w:numId w:val="8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 w:hint="eastAsia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公告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校內</w:t>
      </w:r>
      <w:r w:rsidRPr="00AA07D7">
        <w:rPr>
          <w:rFonts w:ascii="Times New Roman" w:eastAsia="標楷體" w:hAnsi="Times New Roman" w:cs="新細明體"/>
          <w:kern w:val="0"/>
          <w:sz w:val="22"/>
        </w:rPr>
        <w:t>管理政策及通報管道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宣導</w:t>
      </w:r>
      <w:r w:rsidRPr="00AA07D7">
        <w:rPr>
          <w:rFonts w:ascii="Times New Roman" w:eastAsia="標楷體" w:hAnsi="Times New Roman" w:cs="新細明體"/>
          <w:kern w:val="0"/>
          <w:sz w:val="22"/>
        </w:rPr>
        <w:t>。</w:t>
      </w:r>
    </w:p>
    <w:p w:rsidR="000E628D" w:rsidRPr="00AA07D7" w:rsidRDefault="000E628D" w:rsidP="000E628D">
      <w:pPr>
        <w:pStyle w:val="a6"/>
        <w:widowControl/>
        <w:numPr>
          <w:ilvl w:val="0"/>
          <w:numId w:val="8"/>
        </w:numPr>
        <w:spacing w:before="100" w:beforeAutospacing="1" w:line="0" w:lineRule="atLeast"/>
        <w:ind w:leftChars="0" w:left="1276" w:hanging="425"/>
        <w:contextualSpacing/>
        <w:jc w:val="both"/>
        <w:rPr>
          <w:rFonts w:ascii="Times New Roman" w:eastAsia="標楷體" w:hAnsi="Times New Roman" w:cs="新細明體"/>
          <w:kern w:val="0"/>
          <w:sz w:val="22"/>
        </w:rPr>
      </w:pPr>
      <w:r w:rsidRPr="00AA07D7">
        <w:rPr>
          <w:rFonts w:ascii="Times New Roman" w:eastAsia="標楷體" w:hAnsi="Times New Roman" w:cs="新細明體"/>
          <w:kern w:val="0"/>
          <w:sz w:val="22"/>
        </w:rPr>
        <w:t>提供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教職員工工作環境</w:t>
      </w:r>
      <w:r w:rsidRPr="00AA07D7">
        <w:rPr>
          <w:rFonts w:ascii="Times New Roman" w:eastAsia="標楷體" w:hAnsi="Times New Roman" w:cs="新細明體"/>
          <w:kern w:val="0"/>
          <w:sz w:val="22"/>
        </w:rPr>
        <w:t>潛在</w:t>
      </w:r>
      <w:r w:rsidRPr="00AA07D7">
        <w:rPr>
          <w:rFonts w:ascii="Times New Roman" w:eastAsia="標楷體" w:hAnsi="Times New Roman" w:cs="新細明體" w:hint="eastAsia"/>
          <w:kern w:val="0"/>
          <w:sz w:val="22"/>
        </w:rPr>
        <w:t>風險認知，認識可能遇到的攻擊性行為及應對方法</w:t>
      </w:r>
      <w:r w:rsidRPr="00AA07D7">
        <w:rPr>
          <w:rFonts w:ascii="Times New Roman" w:eastAsia="標楷體" w:hAnsi="Times New Roman" w:cs="新細明體"/>
          <w:kern w:val="0"/>
          <w:sz w:val="22"/>
        </w:rPr>
        <w:t>。</w:t>
      </w:r>
    </w:p>
    <w:p w:rsidR="000E628D" w:rsidRPr="00AA07D7" w:rsidRDefault="000E628D" w:rsidP="000E628D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</w:rPr>
      </w:pPr>
      <w:r w:rsidRPr="00AA07D7">
        <w:rPr>
          <w:rFonts w:ascii="Times New Roman" w:eastAsia="標楷體" w:hAnsi="Times New Roman"/>
          <w:b/>
          <w:color w:val="000000" w:themeColor="text1"/>
          <w:sz w:val="22"/>
        </w:rPr>
        <w:t>強化工作場所的規劃措施</w:t>
      </w:r>
    </w:p>
    <w:tbl>
      <w:tblPr>
        <w:tblW w:w="86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5"/>
        <w:gridCol w:w="6379"/>
      </w:tblGrid>
      <w:tr w:rsidR="000E628D" w:rsidRPr="00AA07D7" w:rsidTr="005827BF">
        <w:trPr>
          <w:trHeight w:val="410"/>
          <w:tblCellSpacing w:w="0" w:type="dxa"/>
          <w:jc w:val="center"/>
        </w:trPr>
        <w:tc>
          <w:tcPr>
            <w:tcW w:w="2285" w:type="dxa"/>
            <w:shd w:val="clear" w:color="auto" w:fill="D9D9D9" w:themeFill="background1" w:themeFillShade="D9"/>
            <w:vAlign w:val="center"/>
            <w:hideMark/>
          </w:tcPr>
          <w:p w:rsidR="000E628D" w:rsidRPr="00AA07D7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加強位置</w:t>
            </w:r>
          </w:p>
        </w:tc>
        <w:tc>
          <w:tcPr>
            <w:tcW w:w="6379" w:type="dxa"/>
            <w:shd w:val="clear" w:color="auto" w:fill="D9D9D9" w:themeFill="background1" w:themeFillShade="D9"/>
            <w:hideMark/>
          </w:tcPr>
          <w:p w:rsidR="000E628D" w:rsidRPr="00AA07D7" w:rsidRDefault="000E628D" w:rsidP="005827B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建議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加強措施</w:t>
            </w:r>
          </w:p>
        </w:tc>
      </w:tr>
      <w:tr w:rsidR="000E628D" w:rsidRPr="00AA07D7" w:rsidTr="005827BF">
        <w:trPr>
          <w:trHeight w:val="617"/>
          <w:tblCellSpacing w:w="0" w:type="dxa"/>
          <w:jc w:val="center"/>
        </w:trPr>
        <w:tc>
          <w:tcPr>
            <w:tcW w:w="2285" w:type="dxa"/>
            <w:vAlign w:val="center"/>
            <w:hideMark/>
          </w:tcPr>
          <w:p w:rsidR="000E628D" w:rsidRPr="00AA07D7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通道</w:t>
            </w:r>
          </w:p>
        </w:tc>
        <w:tc>
          <w:tcPr>
            <w:tcW w:w="6379" w:type="dxa"/>
            <w:hideMark/>
          </w:tcPr>
          <w:p w:rsidR="000E628D" w:rsidRPr="00AA07D7" w:rsidRDefault="000E628D" w:rsidP="005827B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加設密碼鎖、教職員工與學生證</w:t>
            </w:r>
            <w:r w:rsidRPr="00AA07D7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查驗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、訪客登記等措施，可避免未獲授權之人士擅自進出工作地點。</w:t>
            </w:r>
          </w:p>
        </w:tc>
      </w:tr>
      <w:tr w:rsidR="000E628D" w:rsidRPr="00AA07D7" w:rsidTr="005827BF">
        <w:trPr>
          <w:tblCellSpacing w:w="0" w:type="dxa"/>
          <w:jc w:val="center"/>
        </w:trPr>
        <w:tc>
          <w:tcPr>
            <w:tcW w:w="2285" w:type="dxa"/>
            <w:vAlign w:val="center"/>
            <w:hideMark/>
          </w:tcPr>
          <w:p w:rsidR="000E628D" w:rsidRPr="00AA07D7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高風險位置</w:t>
            </w:r>
          </w:p>
        </w:tc>
        <w:tc>
          <w:tcPr>
            <w:tcW w:w="6379" w:type="dxa"/>
            <w:hideMark/>
          </w:tcPr>
          <w:p w:rsidR="000E628D" w:rsidRPr="00AA07D7" w:rsidRDefault="000E628D" w:rsidP="005827B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安裝安全設備，如警鈴系統、緊急按鈕、</w:t>
            </w:r>
            <w:r w:rsidRPr="00AA07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小時閉路監視器或無線電話通訊等裝置，</w:t>
            </w:r>
            <w:r w:rsidRPr="00AA07D7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並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定期維護。</w:t>
            </w:r>
          </w:p>
        </w:tc>
      </w:tr>
      <w:tr w:rsidR="000E628D" w:rsidRPr="00AA07D7" w:rsidTr="005827BF">
        <w:trPr>
          <w:trHeight w:val="1822"/>
          <w:tblCellSpacing w:w="0" w:type="dxa"/>
          <w:jc w:val="center"/>
        </w:trPr>
        <w:tc>
          <w:tcPr>
            <w:tcW w:w="2285" w:type="dxa"/>
            <w:vAlign w:val="center"/>
            <w:hideMark/>
          </w:tcPr>
          <w:p w:rsidR="000E628D" w:rsidRPr="00AA07D7" w:rsidRDefault="000E628D" w:rsidP="005827B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工作場所</w:t>
            </w:r>
          </w:p>
        </w:tc>
        <w:tc>
          <w:tcPr>
            <w:tcW w:w="6379" w:type="dxa"/>
            <w:hideMark/>
          </w:tcPr>
          <w:p w:rsidR="000E628D" w:rsidRPr="00AA07D7" w:rsidRDefault="000E628D" w:rsidP="005827B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應設置安全區域或緊急疏散程序</w:t>
            </w:r>
            <w:r w:rsidRPr="00AA07D7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確保工作空間內有兩個出口</w:t>
            </w:r>
            <w:r w:rsidRPr="00AA07D7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請將沒有使用的門鎖住，防止加害人進入及藏匿</w:t>
            </w:r>
            <w:r w:rsidRPr="00AA07D7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減少工作空間內出現可以作為武器的尖銳物品，如花瓶、</w:t>
            </w:r>
            <w:proofErr w:type="gramStart"/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菸灰缸等</w:t>
            </w:r>
            <w:proofErr w:type="gramEnd"/>
            <w:r w:rsidRPr="00AA07D7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；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人員定時巡邏或安裝透明玻璃鏡，加強工作場所之監視</w:t>
            </w:r>
            <w:r w:rsidRPr="00AA07D7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；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工作場所內所有損壞物品，如燒壞的燈具及破窗，應及時修理。</w:t>
            </w:r>
          </w:p>
        </w:tc>
      </w:tr>
      <w:tr w:rsidR="000E628D" w:rsidRPr="00AA07D7" w:rsidTr="005827BF">
        <w:trPr>
          <w:tblCellSpacing w:w="0" w:type="dxa"/>
          <w:jc w:val="center"/>
        </w:trPr>
        <w:tc>
          <w:tcPr>
            <w:tcW w:w="2285" w:type="dxa"/>
            <w:vAlign w:val="center"/>
            <w:hideMark/>
          </w:tcPr>
          <w:p w:rsidR="000E628D" w:rsidRPr="00AA07D7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服務櫃台</w:t>
            </w:r>
          </w:p>
        </w:tc>
        <w:tc>
          <w:tcPr>
            <w:tcW w:w="6379" w:type="dxa"/>
            <w:hideMark/>
          </w:tcPr>
          <w:p w:rsidR="000E628D" w:rsidRPr="00AA07D7" w:rsidRDefault="000E628D" w:rsidP="005827B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有金錢業務交易之服務</w:t>
            </w:r>
            <w:r w:rsidRPr="00AA07D7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櫃台</w:t>
            </w:r>
            <w:r w:rsidRPr="00AA07D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加</w:t>
            </w:r>
            <w:r w:rsidRPr="00AA07D7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裝</w:t>
            </w:r>
            <w:r w:rsidRPr="00AA07D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隔板</w:t>
            </w:r>
            <w:r w:rsidRPr="00AA07D7">
              <w:rPr>
                <w:rFonts w:ascii="Times New Roman" w:eastAsia="標楷體" w:hAnsi="Times New Roman" w:cs="新細明體"/>
                <w:color w:val="000000" w:themeColor="text1"/>
                <w:kern w:val="0"/>
                <w:sz w:val="20"/>
                <w:szCs w:val="20"/>
              </w:rPr>
              <w:t>或</w:t>
            </w:r>
            <w:r w:rsidRPr="00AA07D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圍欄</w:t>
            </w: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。</w:t>
            </w:r>
          </w:p>
        </w:tc>
      </w:tr>
      <w:tr w:rsidR="000E628D" w:rsidRPr="00AA07D7" w:rsidTr="005827BF">
        <w:trPr>
          <w:tblCellSpacing w:w="0" w:type="dxa"/>
          <w:jc w:val="center"/>
        </w:trPr>
        <w:tc>
          <w:tcPr>
            <w:tcW w:w="2285" w:type="dxa"/>
            <w:vAlign w:val="center"/>
            <w:hideMark/>
          </w:tcPr>
          <w:p w:rsidR="000E628D" w:rsidRPr="00AA07D7" w:rsidRDefault="000E628D" w:rsidP="005827B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室內、室外及停車場</w:t>
            </w:r>
          </w:p>
        </w:tc>
        <w:tc>
          <w:tcPr>
            <w:tcW w:w="6379" w:type="dxa"/>
            <w:hideMark/>
          </w:tcPr>
          <w:p w:rsidR="000E628D" w:rsidRPr="00AA07D7" w:rsidRDefault="000E628D" w:rsidP="005827B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A07D7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安裝明亮的照明設備</w:t>
            </w:r>
          </w:p>
        </w:tc>
      </w:tr>
    </w:tbl>
    <w:p w:rsidR="000E628D" w:rsidRPr="00CC113F" w:rsidRDefault="000E628D" w:rsidP="000E628D">
      <w:pPr>
        <w:rPr>
          <w:rFonts w:ascii="Times New Roman" w:eastAsia="標楷體" w:hAnsi="Times New Roman"/>
          <w:color w:val="646B86" w:themeColor="text2"/>
        </w:rPr>
      </w:pPr>
    </w:p>
    <w:p w:rsidR="00A21B2F" w:rsidRDefault="00A21B2F"/>
    <w:sectPr w:rsidR="00A21B2F" w:rsidSect="00B44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A8" w:rsidRDefault="00A535A8" w:rsidP="006640E0">
      <w:r>
        <w:separator/>
      </w:r>
    </w:p>
  </w:endnote>
  <w:endnote w:type="continuationSeparator" w:id="0">
    <w:p w:rsidR="00A535A8" w:rsidRDefault="00A535A8" w:rsidP="006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A8" w:rsidRDefault="00A535A8" w:rsidP="006640E0">
      <w:r>
        <w:separator/>
      </w:r>
    </w:p>
  </w:footnote>
  <w:footnote w:type="continuationSeparator" w:id="0">
    <w:p w:rsidR="00A535A8" w:rsidRDefault="00A535A8" w:rsidP="0066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4B"/>
    <w:multiLevelType w:val="hybridMultilevel"/>
    <w:tmpl w:val="C4128FDE"/>
    <w:lvl w:ilvl="0" w:tplc="61265F9C">
      <w:start w:val="1"/>
      <w:numFmt w:val="decimal"/>
      <w:lvlText w:val="(%1)"/>
      <w:lvlJc w:val="left"/>
      <w:pPr>
        <w:ind w:left="480" w:hanging="480"/>
      </w:pPr>
      <w:rPr>
        <w:rFonts w:cs="新細明體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F50C73"/>
    <w:multiLevelType w:val="hybridMultilevel"/>
    <w:tmpl w:val="C4128FDE"/>
    <w:lvl w:ilvl="0" w:tplc="61265F9C">
      <w:start w:val="1"/>
      <w:numFmt w:val="decimal"/>
      <w:lvlText w:val="(%1)"/>
      <w:lvlJc w:val="left"/>
      <w:pPr>
        <w:ind w:left="480" w:hanging="480"/>
      </w:pPr>
      <w:rPr>
        <w:rFonts w:cs="新細明體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7362D"/>
    <w:multiLevelType w:val="hybridMultilevel"/>
    <w:tmpl w:val="FCC80FE2"/>
    <w:lvl w:ilvl="0" w:tplc="FC68EEF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i w:val="0"/>
        <w:color w:val="auto"/>
        <w:sz w:val="24"/>
      </w:rPr>
    </w:lvl>
    <w:lvl w:ilvl="1" w:tplc="9D1E21C4">
      <w:start w:val="1"/>
      <w:numFmt w:val="taiwaneseCountingThousand"/>
      <w:lvlText w:val="%2、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7D03667"/>
    <w:multiLevelType w:val="hybridMultilevel"/>
    <w:tmpl w:val="9370B7B6"/>
    <w:lvl w:ilvl="0" w:tplc="021AE4D2">
      <w:start w:val="1"/>
      <w:numFmt w:val="taiwaneseCountingThousand"/>
      <w:lvlText w:val="(%1)"/>
      <w:lvlJc w:val="left"/>
      <w:pPr>
        <w:ind w:left="1385" w:hanging="480"/>
      </w:pPr>
      <w:rPr>
        <w:rFonts w:hint="eastAsia"/>
        <w:b w:val="0"/>
        <w:i w:val="0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9674FE"/>
    <w:multiLevelType w:val="hybridMultilevel"/>
    <w:tmpl w:val="C20250D8"/>
    <w:lvl w:ilvl="0" w:tplc="C2A24D58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CE4D1C"/>
    <w:multiLevelType w:val="hybridMultilevel"/>
    <w:tmpl w:val="C01203BE"/>
    <w:lvl w:ilvl="0" w:tplc="C2A24D58">
      <w:start w:val="1"/>
      <w:numFmt w:val="decimal"/>
      <w:lvlText w:val="%1."/>
      <w:lvlJc w:val="left"/>
      <w:pPr>
        <w:ind w:left="1385" w:hanging="480"/>
      </w:pPr>
      <w:rPr>
        <w:rFonts w:ascii="Times New Roman" w:eastAsia="標楷體" w:hAnsi="Times New Roman" w:cstheme="minorBidi" w:hint="default"/>
        <w:b w:val="0"/>
        <w:i w:val="0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57DB2EB1"/>
    <w:multiLevelType w:val="hybridMultilevel"/>
    <w:tmpl w:val="C4128FDE"/>
    <w:lvl w:ilvl="0" w:tplc="61265F9C">
      <w:start w:val="1"/>
      <w:numFmt w:val="decimal"/>
      <w:lvlText w:val="(%1)"/>
      <w:lvlJc w:val="left"/>
      <w:pPr>
        <w:ind w:left="480" w:hanging="480"/>
      </w:pPr>
      <w:rPr>
        <w:rFonts w:cs="新細明體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D8368B"/>
    <w:multiLevelType w:val="hybridMultilevel"/>
    <w:tmpl w:val="487A05F4"/>
    <w:lvl w:ilvl="0" w:tplc="840ADF08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  <w:i w:val="0"/>
        <w:color w:val="auto"/>
        <w:sz w:val="24"/>
      </w:rPr>
    </w:lvl>
    <w:lvl w:ilvl="1" w:tplc="021AE4D2">
      <w:start w:val="1"/>
      <w:numFmt w:val="taiwaneseCountingThousand"/>
      <w:lvlText w:val="(%2)"/>
      <w:lvlJc w:val="left"/>
      <w:pPr>
        <w:ind w:left="1385" w:hanging="480"/>
      </w:pPr>
      <w:rPr>
        <w:rFonts w:hint="eastAsia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E628D"/>
    <w:rsid w:val="006640E0"/>
    <w:rsid w:val="00707A13"/>
    <w:rsid w:val="00935078"/>
    <w:rsid w:val="00944B15"/>
    <w:rsid w:val="00A21B2F"/>
    <w:rsid w:val="00A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D"/>
    <w:pPr>
      <w:widowControl w:val="0"/>
    </w:pPr>
  </w:style>
  <w:style w:type="paragraph" w:styleId="1">
    <w:name w:val="heading 1"/>
    <w:basedOn w:val="a"/>
    <w:link w:val="10"/>
    <w:uiPriority w:val="9"/>
    <w:qFormat/>
    <w:rsid w:val="00707A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07A1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707A13"/>
    <w:pPr>
      <w:widowControl w:val="0"/>
    </w:pPr>
  </w:style>
  <w:style w:type="character" w:customStyle="1" w:styleId="a4">
    <w:name w:val="無間距 字元"/>
    <w:basedOn w:val="a0"/>
    <w:link w:val="a3"/>
    <w:uiPriority w:val="1"/>
    <w:rsid w:val="00707A13"/>
  </w:style>
  <w:style w:type="paragraph" w:styleId="a5">
    <w:name w:val="TOC Heading"/>
    <w:basedOn w:val="1"/>
    <w:next w:val="a"/>
    <w:uiPriority w:val="39"/>
    <w:semiHidden/>
    <w:unhideWhenUsed/>
    <w:qFormat/>
    <w:rsid w:val="00707A13"/>
    <w:pPr>
      <w:outlineLvl w:val="9"/>
    </w:pPr>
  </w:style>
  <w:style w:type="paragraph" w:styleId="a6">
    <w:name w:val="List Paragraph"/>
    <w:basedOn w:val="a"/>
    <w:uiPriority w:val="34"/>
    <w:qFormat/>
    <w:rsid w:val="000E628D"/>
    <w:pPr>
      <w:ind w:leftChars="200" w:left="480"/>
    </w:pPr>
  </w:style>
  <w:style w:type="character" w:styleId="a7">
    <w:name w:val="Hyperlink"/>
    <w:basedOn w:val="a0"/>
    <w:uiPriority w:val="99"/>
    <w:unhideWhenUsed/>
    <w:rsid w:val="000E628D"/>
    <w:rPr>
      <w:color w:val="00A3D6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E628D"/>
    <w:rPr>
      <w:color w:val="694F07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6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40E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40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D"/>
    <w:pPr>
      <w:widowControl w:val="0"/>
    </w:pPr>
  </w:style>
  <w:style w:type="paragraph" w:styleId="1">
    <w:name w:val="heading 1"/>
    <w:basedOn w:val="a"/>
    <w:link w:val="10"/>
    <w:uiPriority w:val="9"/>
    <w:qFormat/>
    <w:rsid w:val="00707A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07A1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707A13"/>
    <w:pPr>
      <w:widowControl w:val="0"/>
    </w:pPr>
  </w:style>
  <w:style w:type="character" w:customStyle="1" w:styleId="a4">
    <w:name w:val="無間距 字元"/>
    <w:basedOn w:val="a0"/>
    <w:link w:val="a3"/>
    <w:uiPriority w:val="1"/>
    <w:rsid w:val="00707A13"/>
  </w:style>
  <w:style w:type="paragraph" w:styleId="a5">
    <w:name w:val="TOC Heading"/>
    <w:basedOn w:val="1"/>
    <w:next w:val="a"/>
    <w:uiPriority w:val="39"/>
    <w:semiHidden/>
    <w:unhideWhenUsed/>
    <w:qFormat/>
    <w:rsid w:val="00707A13"/>
    <w:pPr>
      <w:outlineLvl w:val="9"/>
    </w:pPr>
  </w:style>
  <w:style w:type="paragraph" w:styleId="a6">
    <w:name w:val="List Paragraph"/>
    <w:basedOn w:val="a"/>
    <w:uiPriority w:val="34"/>
    <w:qFormat/>
    <w:rsid w:val="000E628D"/>
    <w:pPr>
      <w:ind w:leftChars="200" w:left="480"/>
    </w:pPr>
  </w:style>
  <w:style w:type="character" w:styleId="a7">
    <w:name w:val="Hyperlink"/>
    <w:basedOn w:val="a0"/>
    <w:uiPriority w:val="99"/>
    <w:unhideWhenUsed/>
    <w:rsid w:val="000E628D"/>
    <w:rPr>
      <w:color w:val="00A3D6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E628D"/>
    <w:rPr>
      <w:color w:val="694F07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6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40E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4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40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nqMiIOY2qaFBxUFTueyi3Z8m6FCypNQiTXGiPZkAVc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市鎮">
  <a:themeElements>
    <a:clrScheme name="市鎮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市鎮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市鎮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2021-02-23T07:13:00Z</cp:lastPrinted>
  <dcterms:created xsi:type="dcterms:W3CDTF">2021-02-23T06:40:00Z</dcterms:created>
  <dcterms:modified xsi:type="dcterms:W3CDTF">2021-02-23T08:05:00Z</dcterms:modified>
</cp:coreProperties>
</file>